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12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ХМАО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Югры Миненко </w:t>
      </w:r>
      <w:r>
        <w:rPr>
          <w:rFonts w:ascii="Times New Roman" w:eastAsia="Times New Roman" w:hAnsi="Times New Roman" w:cs="Times New Roman"/>
          <w:sz w:val="26"/>
          <w:szCs w:val="26"/>
        </w:rPr>
        <w:t>Юлия Борисовна,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257</w:t>
      </w:r>
      <w:r>
        <w:rPr>
          <w:rFonts w:ascii="Times New Roman" w:eastAsia="Times New Roman" w:hAnsi="Times New Roman" w:cs="Times New Roman"/>
          <w:sz w:val="26"/>
          <w:szCs w:val="26"/>
        </w:rPr>
        <w:t>-2803/202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находясь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25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округа-Югра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 в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час.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находился по месту жительства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Style w:val="cat-User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помощь защитника не воспользовался, вину в совершении правонарушения признал, пояснив,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</w:rPr>
        <w:t>15.02.2026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ночное время отсутствовал дома,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находился у своей </w:t>
      </w:r>
      <w:r>
        <w:rPr>
          <w:rFonts w:ascii="Times New Roman" w:eastAsia="Times New Roman" w:hAnsi="Times New Roman" w:cs="Times New Roman"/>
          <w:sz w:val="26"/>
          <w:szCs w:val="26"/>
        </w:rPr>
        <w:t>знакомой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>, исследовав письменные материалы дела, мировой судья пришел к следующему: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нарушении ограничений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установленных судом при административном надзоре,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именно: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серии 86 №</w:t>
      </w:r>
      <w:r>
        <w:rPr>
          <w:rFonts w:ascii="Times New Roman" w:eastAsia="Times New Roman" w:hAnsi="Times New Roman" w:cs="Times New Roman"/>
          <w:sz w:val="26"/>
          <w:szCs w:val="26"/>
        </w:rPr>
        <w:t>399984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старшего УУП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06.03.2026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момент проверки отсутствовал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актом посещения поднадзорного лица по месту жительства от 15.02.2026;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заключением о заведении дела административного надзора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09.12.2024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уведомления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месте проживания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12.02.2026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6"/>
          <w:szCs w:val="26"/>
        </w:rPr>
        <w:t>30.05.2023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соответствии с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привлечен к административной ответстве</w:t>
      </w:r>
      <w:r>
        <w:rPr>
          <w:rFonts w:ascii="Times New Roman" w:eastAsia="Times New Roman" w:hAnsi="Times New Roman" w:cs="Times New Roman"/>
          <w:sz w:val="26"/>
          <w:szCs w:val="26"/>
        </w:rPr>
        <w:t>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1 ст.19.24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Драбатухин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правонарушение против порядка управления, ранее неоднократно привлекался к административной ответственности против общественного порядка.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ответственность, является признание вины в совершенном правонарушении.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является повторное совершение однородного правонарушения, исключая ответственность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Драбатухина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10 (десять)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15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инут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5rplc-23">
    <w:name w:val="cat-UserDefined grp-2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